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360" w:lineRule="auto"/>
        <w:jc w:val="center"/>
        <w:rPr>
          <w:rFonts w:ascii="Times New Roman" w:cs="Times New Roman" w:eastAsia="Times New Roman" w:hAnsi="Times New Roman"/>
          <w:b w:val="1"/>
          <w:bCs w:val="1"/>
          <w:color w:val="1f497d"/>
          <w:sz w:val="28"/>
          <w:szCs w:val="28"/>
        </w:rPr>
      </w:pPr>
      <w:bookmarkStart w:colFirst="0" w:colLast="0" w:name="_gjdgxs" w:id="0"/>
      <w:bookmarkEnd w:id="0"/>
      <w:r w:rsidDel="00000000" w:rsidR="00000000" w:rsidRPr="00000000">
        <w:rPr>
          <w:rFonts w:ascii="Times New Roman" w:cs="Times New Roman" w:eastAsia="Times New Roman" w:hAnsi="Times New Roman"/>
          <w:b w:val="1"/>
          <w:bCs w:val="1"/>
          <w:color w:val="1f497d"/>
          <w:sz w:val="28"/>
          <w:szCs w:val="28"/>
          <w:rtl w:val="0"/>
        </w:rPr>
        <w:t xml:space="preserve">CHUYÊN VIÊN PR</w:t>
      </w:r>
    </w:p>
    <w:p w:rsidR="00000000" w:rsidDel="00000000" w:rsidP="00000000" w:rsidRDefault="00000000" w:rsidRPr="00000000" w14:paraId="0000000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Thông tin chung</w:t>
      </w:r>
    </w:p>
    <w:p w:rsidR="00000000" w:rsidDel="00000000" w:rsidP="00000000" w:rsidRDefault="00000000" w:rsidRPr="00000000" w14:paraId="0000000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Vị trí: Chuyên viên PR</w:t>
      </w:r>
    </w:p>
    <w:p w:rsidR="00000000" w:rsidDel="00000000" w:rsidP="00000000" w:rsidRDefault="00000000" w:rsidRPr="00000000" w14:paraId="0000000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Bộ phận: Phòng Đối ngoại</w:t>
      </w:r>
    </w:p>
    <w:p w:rsidR="00000000" w:rsidDel="00000000" w:rsidP="00000000" w:rsidRDefault="00000000" w:rsidRPr="00000000" w14:paraId="0000000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Người quản lý trực tiếp: Trưởng phòng Đối ngoại</w:t>
      </w:r>
    </w:p>
    <w:p w:rsidR="00000000" w:rsidDel="00000000" w:rsidP="00000000" w:rsidRDefault="00000000" w:rsidRPr="00000000" w14:paraId="0000000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Nhiệm vụ cụ thể</w:t>
      </w:r>
      <w:r w:rsidDel="00000000" w:rsidR="00000000" w:rsidRPr="00000000">
        <w:rPr>
          <w:rtl w:val="0"/>
        </w:rPr>
      </w:r>
    </w:p>
    <w:p w:rsidR="00000000" w:rsidDel="00000000" w:rsidP="00000000" w:rsidRDefault="00000000" w:rsidRPr="00000000" w14:paraId="00000007">
      <w:pPr>
        <w:pageBreakBefore w:val="0"/>
        <w:numPr>
          <w:ilvl w:val="0"/>
          <w:numId w:val="2"/>
        </w:numPr>
        <w:spacing w:after="0" w:before="28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Nghiên cứu, đề ra và thực thi các chiến lược PR cho các thương hiệu sản phẩm và thương hiệu công ty </w:t>
      </w:r>
    </w:p>
    <w:p w:rsidR="00000000" w:rsidDel="00000000" w:rsidP="00000000" w:rsidRDefault="00000000" w:rsidRPr="00000000" w14:paraId="00000008">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Phụ trách và duy trì mối quan hệ với các cơ quan truyền thông, báo chí </w:t>
      </w:r>
    </w:p>
    <w:p w:rsidR="00000000" w:rsidDel="00000000" w:rsidP="00000000" w:rsidRDefault="00000000" w:rsidRPr="00000000" w14:paraId="00000009">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Soạn thảo các văn bản thông tin với báo chí, thông cáo báo chí tới các cơ quan báo chí. </w:t>
      </w:r>
    </w:p>
    <w:p w:rsidR="00000000" w:rsidDel="00000000" w:rsidP="00000000" w:rsidRDefault="00000000" w:rsidRPr="00000000" w14:paraId="0000000A">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Cung cấp và làm rõ thông tin tới báo chí khi được phê duyệt </w:t>
      </w:r>
    </w:p>
    <w:p w:rsidR="00000000" w:rsidDel="00000000" w:rsidP="00000000" w:rsidRDefault="00000000" w:rsidRPr="00000000" w14:paraId="0000000B">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Phối hợp với Phòng Hành chính Nhân sự xây dựng truyền thông nội bộ và quản lý trang web của công ty </w:t>
      </w:r>
    </w:p>
    <w:p w:rsidR="00000000" w:rsidDel="00000000" w:rsidP="00000000" w:rsidRDefault="00000000" w:rsidRPr="00000000" w14:paraId="0000000C">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Phát hiện, báo cáo và xử lý các sự cố truyền thông, thiết lập các quy chuẩn và cách ứng xử đối với sự cố </w:t>
      </w:r>
    </w:p>
    <w:p w:rsidR="00000000" w:rsidDel="00000000" w:rsidP="00000000" w:rsidRDefault="00000000" w:rsidRPr="00000000" w14:paraId="0000000D">
      <w:pPr>
        <w:pageBreakBefore w:val="0"/>
        <w:numPr>
          <w:ilvl w:val="0"/>
          <w:numId w:val="2"/>
        </w:numPr>
        <w:spacing w:after="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Đánh giá tiềm năng các hoạt động tài trợ, song hành và quản lý quan hệ </w:t>
      </w:r>
    </w:p>
    <w:p w:rsidR="00000000" w:rsidDel="00000000" w:rsidP="00000000" w:rsidRDefault="00000000" w:rsidRPr="00000000" w14:paraId="0000000E">
      <w:pPr>
        <w:pageBreakBefore w:val="0"/>
        <w:numPr>
          <w:ilvl w:val="0"/>
          <w:numId w:val="2"/>
        </w:numPr>
        <w:spacing w:after="280" w:before="0" w:line="360"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Theo dõi các hoạt động truyền thông đối ngoại đang thực hiện và trình báo cáo lên cấp trên sau chương trình</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Quyền lợi được hưởng</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Được hưởng đầy đủ các chế độ theo quy định của pháp luật (BHYT, BHXH, BHTN) và các chế độ phúc lợi theo nội quy, quy chế của Công ty (tham quan, nghỉ mát, lương thưởng, nghỉ lễ Tết,...)</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Được hưởng đầy đủ các chế độ thăm hỏi sức khỏe cho bản thân và gia đình theo chính sách đãi ngộ của Công ty.</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Được làm việc trong Môi trường năng động, chuyên nghiệp và thân thiện, có nhiều cơ hội thăng tiến và phát triển nghề nghiệp.</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Mức lương:</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 [mức lương doanh nghiệp đề nghị]</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Yêu cầu công việc</w:t>
      </w:r>
    </w:p>
    <w:p w:rsidR="00000000" w:rsidDel="00000000" w:rsidP="00000000" w:rsidRDefault="00000000" w:rsidRPr="00000000" w14:paraId="0000001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Tốt nghiệp Đại học chuyên ngành Báo chí - Truyền thông, Đối ngoại, Marketing hoặc các chuyên ngành liên quan </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Có X năm kinh nghiệm làm chuyên viên PR hoặc các vị trí tương đương </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Có kiến thức chuyên môn về PR, Truyền thông, Marketing Hiểu biết tốt về social media (blog, Facebook, Youtube,...) </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Có khả năng biên tập, viết nội dung chuyên nghiệp, kiểm tra chính tả, ngữ nghĩa </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Có kỹ năng phối hợp quản lý rủi ro &amp; khủng hoảng truyền thông </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1"/>
          <w:bCs w:val="1"/>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Có quan hệ và kinh nghiệm làm việc với cơ quan báo chí là một lợi thế</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Quy chế công ty</w:t>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644" w:right="0" w:hanging="360"/>
        <w:jc w:val="both"/>
        <w:rPr>
          <w:b w:val="0"/>
          <w:bCs w:val="0"/>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Thời gian làm việc</w:t>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644" w:right="0" w:hanging="360"/>
        <w:jc w:val="both"/>
        <w:rPr>
          <w:b w:val="0"/>
          <w:bCs w:val="0"/>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Địa điểm làm việc</w:t>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Times New Roman" w:cs="Times New Roman" w:eastAsia="Times New Roman" w:hAnsi="Times New Roman"/>
          <w:i w:val="0"/>
          <w:iCs w:val="0"/>
          <w:smallCaps w:val="0"/>
          <w:strike w:val="0"/>
          <w:color w:val="1f497d"/>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497d"/>
          <w:sz w:val="28"/>
          <w:szCs w:val="28"/>
          <w:u w:val="none"/>
          <w:shd w:fill="auto" w:val="clear"/>
          <w:vertAlign w:val="baseline"/>
          <w:rtl w:val="0"/>
        </w:rPr>
        <w:t xml:space="preserve">Liên hệ</w:t>
      </w:r>
    </w:p>
    <w:p w:rsidR="00000000" w:rsidDel="00000000" w:rsidP="00000000" w:rsidRDefault="00000000" w:rsidRPr="00000000" w14:paraId="0000001F">
      <w:pPr>
        <w:pageBreakBefore w:val="0"/>
        <w:shd w:fill="ffffff" w:val="clear"/>
        <w:spacing w:line="360" w:lineRule="auto"/>
        <w:ind w:left="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Anh/chị có thể tham khảo thông tin Công ty tại đây:</w:t>
      </w:r>
    </w:p>
    <w:p w:rsidR="00000000" w:rsidDel="00000000" w:rsidP="00000000" w:rsidRDefault="00000000" w:rsidRPr="00000000" w14:paraId="00000020">
      <w:pPr>
        <w:pageBreakBefore w:val="0"/>
        <w:numPr>
          <w:ilvl w:val="0"/>
          <w:numId w:val="7"/>
        </w:numPr>
        <w:shd w:fill="ffffff" w:val="clear"/>
        <w:spacing w:after="0" w:line="360" w:lineRule="auto"/>
        <w:ind w:left="851" w:hanging="425"/>
        <w:jc w:val="both"/>
        <w:rPr>
          <w:color w:val="222222"/>
          <w:sz w:val="28"/>
          <w:szCs w:val="28"/>
        </w:rPr>
      </w:pPr>
      <w:r w:rsidDel="00000000" w:rsidR="00000000" w:rsidRPr="00000000">
        <w:rPr>
          <w:rFonts w:ascii="Times New Roman" w:cs="Times New Roman" w:eastAsia="Times New Roman" w:hAnsi="Times New Roman"/>
          <w:color w:val="000000"/>
          <w:sz w:val="28"/>
          <w:szCs w:val="28"/>
          <w:rtl w:val="0"/>
        </w:rPr>
        <w:t xml:space="preserve">Website: </w:t>
      </w:r>
      <w:r w:rsidDel="00000000" w:rsidR="00000000" w:rsidRPr="00000000">
        <w:rPr>
          <w:rtl w:val="0"/>
        </w:rPr>
      </w:r>
    </w:p>
    <w:p w:rsidR="00000000" w:rsidDel="00000000" w:rsidP="00000000" w:rsidRDefault="00000000" w:rsidRPr="00000000" w14:paraId="00000021">
      <w:pPr>
        <w:pageBreakBefore w:val="0"/>
        <w:numPr>
          <w:ilvl w:val="0"/>
          <w:numId w:val="7"/>
        </w:numPr>
        <w:shd w:fill="ffffff" w:val="clear"/>
        <w:spacing w:after="0" w:line="360" w:lineRule="auto"/>
        <w:ind w:left="851" w:hanging="425"/>
        <w:jc w:val="both"/>
        <w:rPr>
          <w:color w:val="222222"/>
          <w:sz w:val="28"/>
          <w:szCs w:val="28"/>
        </w:rPr>
      </w:pPr>
      <w:r w:rsidDel="00000000" w:rsidR="00000000" w:rsidRPr="00000000">
        <w:rPr>
          <w:rFonts w:ascii="Times New Roman" w:cs="Times New Roman" w:eastAsia="Times New Roman" w:hAnsi="Times New Roman"/>
          <w:color w:val="000000"/>
          <w:sz w:val="28"/>
          <w:szCs w:val="28"/>
          <w:rtl w:val="0"/>
        </w:rPr>
        <w:t xml:space="preserve">Fanpage: </w:t>
      </w:r>
      <w:r w:rsidDel="00000000" w:rsidR="00000000" w:rsidRPr="00000000">
        <w:rPr>
          <w:rtl w:val="0"/>
        </w:rPr>
      </w:r>
    </w:p>
    <w:p w:rsidR="00000000" w:rsidDel="00000000" w:rsidP="00000000" w:rsidRDefault="00000000" w:rsidRPr="00000000" w14:paraId="00000022">
      <w:pPr>
        <w:pageBreakBefore w:val="0"/>
        <w:spacing w:line="360" w:lineRule="auto"/>
        <w:ind w:firstLine="426"/>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Chi tiết liên hệ theo các cách sau:</w:t>
      </w:r>
    </w:p>
    <w:p w:rsidR="00000000" w:rsidDel="00000000" w:rsidP="00000000" w:rsidRDefault="00000000" w:rsidRPr="00000000" w14:paraId="0000002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Gửi CV về Email: </w:t>
      </w:r>
    </w:p>
    <w:p w:rsidR="00000000" w:rsidDel="00000000" w:rsidP="00000000" w:rsidRDefault="00000000" w:rsidRPr="00000000" w14:paraId="0000002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Liên lạc qua số điện thoại:</w:t>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440" w:top="1440" w:left="1440" w:right="1440" w:header="142"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1"/>
        <w:strike w:val="0"/>
        <w:color w:val="4f81bd"/>
        <w:sz w:val="22"/>
        <w:szCs w:val="22"/>
        <w:u w:val="none"/>
        <w:shd w:fill="auto" w:val="clear"/>
        <w:vertAlign w:val="baseline"/>
      </w:rPr>
    </w:pPr>
    <w:r w:rsidDel="00000000" w:rsidR="00000000" w:rsidRPr="00000000">
      <w:rPr>
        <w:rFonts w:ascii="Calibri" w:cs="Calibri" w:eastAsia="Calibri" w:hAnsi="Calibri"/>
        <w:b w:val="0"/>
        <w:bCs w:val="0"/>
        <w:i w:val="0"/>
        <w:iCs w:val="0"/>
        <w:smallCaps w:val="1"/>
        <w:strike w:val="0"/>
        <w:color w:val="4f81bd"/>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1"/>
      <w:tblW w:w="9639.0" w:type="dxa"/>
      <w:jc w:val="left"/>
      <w:tblInd w:w="-6.999999999999993" w:type="dxa"/>
      <w:tblBorders>
        <w:insideH w:color="e36c0a" w:space="0" w:sz="12" w:val="single"/>
        <w:insideV w:color="e36c0a" w:space="0" w:sz="4" w:val="single"/>
      </w:tblBorders>
      <w:tblLayout w:type="fixed"/>
      <w:tblLook w:val="0400"/>
    </w:tblPr>
    <w:tblGrid>
      <w:gridCol w:w="1843"/>
      <w:gridCol w:w="7796"/>
      <w:tblGridChange w:id="0">
        <w:tblGrid>
          <w:gridCol w:w="1843"/>
          <w:gridCol w:w="7796"/>
        </w:tblGrid>
      </w:tblGridChange>
    </w:tblGrid>
    <w:tr>
      <w:trPr>
        <w:cantSplit w:val="0"/>
        <w:tblHeader w:val="0"/>
      </w:trPr>
      <w:tc>
        <w:tcPr>
          <w:tcBorders>
            <w:right w:color="1f497d" w:space="0" w:sz="4" w:val="single"/>
          </w:tcBorders>
          <w:shd w:fill="auto" w:val="clear"/>
        </w:tcPr>
        <w:p w:rsidR="00000000" w:rsidDel="00000000" w:rsidP="00000000" w:rsidRDefault="00000000" w:rsidRPr="00000000" w14:paraId="00000026">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[LOGO CỦA CÔNG TY]</w:t>
          </w:r>
        </w:p>
      </w:tc>
      <w:tc>
        <w:tcPr>
          <w:tcBorders>
            <w:left w:color="1f497d" w:space="0" w:sz="4" w:val="single"/>
          </w:tcBorders>
          <w:shd w:fill="auto" w:val="clear"/>
        </w:tcPr>
        <w:p w:rsidR="00000000" w:rsidDel="00000000" w:rsidP="00000000" w:rsidRDefault="00000000" w:rsidRPr="00000000" w14:paraId="00000028">
          <w:pPr>
            <w:pageBreakBefore w:val="0"/>
            <w:spacing w:line="240" w:lineRule="auto"/>
            <w:rPr>
              <w:rFonts w:ascii="Times New Roman" w:cs="Times New Roman" w:eastAsia="Times New Roman" w:hAnsi="Times New Roman"/>
              <w:b w:val="1"/>
              <w:bCs w:val="1"/>
              <w:color w:val="1f497d"/>
            </w:rPr>
          </w:pPr>
          <w:r w:rsidDel="00000000" w:rsidR="00000000" w:rsidRPr="00000000">
            <w:rPr>
              <w:rFonts w:ascii="Times New Roman" w:cs="Times New Roman" w:eastAsia="Times New Roman" w:hAnsi="Times New Roman"/>
              <w:b w:val="1"/>
              <w:bCs w:val="1"/>
              <w:color w:val="1f497d"/>
              <w:rtl w:val="0"/>
            </w:rPr>
            <w:t xml:space="preserve">TÊN CÔNG TY</w:t>
          </w:r>
        </w:p>
        <w:p w:rsidR="00000000" w:rsidDel="00000000" w:rsidP="00000000" w:rsidRDefault="00000000" w:rsidRPr="00000000" w14:paraId="00000029">
          <w:pPr>
            <w:pageBreakBefore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Trụ sở chính:</w:t>
          </w:r>
        </w:p>
        <w:p w:rsidR="00000000" w:rsidDel="00000000" w:rsidP="00000000" w:rsidRDefault="00000000" w:rsidRPr="00000000" w14:paraId="0000002A">
          <w:pPr>
            <w:pageBreakBefore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 nhánh (nếu có): </w:t>
          </w:r>
        </w:p>
      </w:tc>
    </w:tr>
  </w:tbl>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bullet"/>
      <w:lvlText w:val="-"/>
      <w:lvlJc w:val="left"/>
      <w:pPr>
        <w:ind w:left="502" w:hanging="360"/>
      </w:pPr>
      <w:rPr>
        <w:rFonts w:ascii="Times New Roman" w:cs="Times New Roman" w:eastAsia="Times New Roman" w:hAnsi="Times New Roman"/>
      </w:rPr>
    </w:lvl>
    <w:lvl w:ilvl="1">
      <w:start w:val="1"/>
      <w:numFmt w:val="bullet"/>
      <w:lvlText w:val="o"/>
      <w:lvlJc w:val="left"/>
      <w:pPr>
        <w:ind w:left="2025" w:hanging="360"/>
      </w:pPr>
      <w:rPr>
        <w:rFonts w:ascii="Courier New" w:cs="Courier New" w:eastAsia="Courier New" w:hAnsi="Courier New"/>
      </w:rPr>
    </w:lvl>
    <w:lvl w:ilvl="2">
      <w:start w:val="1"/>
      <w:numFmt w:val="bullet"/>
      <w:lvlText w:val="▪"/>
      <w:lvlJc w:val="left"/>
      <w:pPr>
        <w:ind w:left="2745" w:hanging="360"/>
      </w:pPr>
      <w:rPr>
        <w:rFonts w:ascii="Noto Sans Symbols" w:cs="Noto Sans Symbols" w:eastAsia="Noto Sans Symbols" w:hAnsi="Noto Sans Symbols"/>
      </w:rPr>
    </w:lvl>
    <w:lvl w:ilvl="3">
      <w:start w:val="1"/>
      <w:numFmt w:val="bullet"/>
      <w:lvlText w:val="●"/>
      <w:lvlJc w:val="left"/>
      <w:pPr>
        <w:ind w:left="3465" w:hanging="360"/>
      </w:pPr>
      <w:rPr>
        <w:rFonts w:ascii="Noto Sans Symbols" w:cs="Noto Sans Symbols" w:eastAsia="Noto Sans Symbols" w:hAnsi="Noto Sans Symbols"/>
      </w:rPr>
    </w:lvl>
    <w:lvl w:ilvl="4">
      <w:start w:val="1"/>
      <w:numFmt w:val="bullet"/>
      <w:lvlText w:val="o"/>
      <w:lvlJc w:val="left"/>
      <w:pPr>
        <w:ind w:left="4185" w:hanging="360"/>
      </w:pPr>
      <w:rPr>
        <w:rFonts w:ascii="Courier New" w:cs="Courier New" w:eastAsia="Courier New" w:hAnsi="Courier New"/>
      </w:rPr>
    </w:lvl>
    <w:lvl w:ilvl="5">
      <w:start w:val="1"/>
      <w:numFmt w:val="bullet"/>
      <w:lvlText w:val="▪"/>
      <w:lvlJc w:val="left"/>
      <w:pPr>
        <w:ind w:left="4905" w:hanging="360"/>
      </w:pPr>
      <w:rPr>
        <w:rFonts w:ascii="Noto Sans Symbols" w:cs="Noto Sans Symbols" w:eastAsia="Noto Sans Symbols" w:hAnsi="Noto Sans Symbols"/>
      </w:rPr>
    </w:lvl>
    <w:lvl w:ilvl="6">
      <w:start w:val="1"/>
      <w:numFmt w:val="bullet"/>
      <w:lvlText w:val="●"/>
      <w:lvlJc w:val="left"/>
      <w:pPr>
        <w:ind w:left="5625" w:hanging="360"/>
      </w:pPr>
      <w:rPr>
        <w:rFonts w:ascii="Noto Sans Symbols" w:cs="Noto Sans Symbols" w:eastAsia="Noto Sans Symbols" w:hAnsi="Noto Sans Symbols"/>
      </w:rPr>
    </w:lvl>
    <w:lvl w:ilvl="7">
      <w:start w:val="1"/>
      <w:numFmt w:val="bullet"/>
      <w:lvlText w:val="o"/>
      <w:lvlJc w:val="left"/>
      <w:pPr>
        <w:ind w:left="6345" w:hanging="360"/>
      </w:pPr>
      <w:rPr>
        <w:rFonts w:ascii="Courier New" w:cs="Courier New" w:eastAsia="Courier New" w:hAnsi="Courier New"/>
      </w:rPr>
    </w:lvl>
    <w:lvl w:ilvl="8">
      <w:start w:val="1"/>
      <w:numFmt w:val="bullet"/>
      <w:lvlText w:val="▪"/>
      <w:lvlJc w:val="left"/>
      <w:pPr>
        <w:ind w:left="7065" w:hanging="360"/>
      </w:pPr>
      <w:rPr>
        <w:rFonts w:ascii="Noto Sans Symbols" w:cs="Noto Sans Symbols" w:eastAsia="Noto Sans Symbols" w:hAnsi="Noto Sans Symbols"/>
      </w:rPr>
    </w:lvl>
  </w:abstractNum>
  <w:abstractNum w:abstractNumId="2">
    <w:lvl w:ilvl="0">
      <w:start w:val="2"/>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2"/>
      <w:numFmt w:val="bullet"/>
      <w:lvlText w:val="-"/>
      <w:lvlJc w:val="left"/>
      <w:pPr>
        <w:ind w:left="644" w:hanging="359.99999999999994"/>
      </w:pPr>
      <w:rPr>
        <w:rFonts w:ascii="Times New Roman" w:cs="Times New Roman" w:eastAsia="Times New Roman" w:hAnsi="Times New Roman"/>
        <w:color w:val="000000"/>
      </w:rPr>
    </w:lvl>
    <w:lvl w:ilvl="1">
      <w:start w:val="1"/>
      <w:numFmt w:val="bullet"/>
      <w:lvlText w:val="o"/>
      <w:lvlJc w:val="left"/>
      <w:pPr>
        <w:ind w:left="1364" w:hanging="360"/>
      </w:pPr>
      <w:rPr>
        <w:rFonts w:ascii="Courier New" w:cs="Courier New" w:eastAsia="Courier New" w:hAnsi="Courier New"/>
      </w:rPr>
    </w:lvl>
    <w:lvl w:ilvl="2">
      <w:start w:val="1"/>
      <w:numFmt w:val="bullet"/>
      <w:lvlText w:val="▪"/>
      <w:lvlJc w:val="left"/>
      <w:pPr>
        <w:ind w:left="2084" w:hanging="360"/>
      </w:pPr>
      <w:rPr>
        <w:rFonts w:ascii="Noto Sans Symbols" w:cs="Noto Sans Symbols" w:eastAsia="Noto Sans Symbols" w:hAnsi="Noto Sans Symbols"/>
      </w:rPr>
    </w:lvl>
    <w:lvl w:ilvl="3">
      <w:start w:val="1"/>
      <w:numFmt w:val="bullet"/>
      <w:lvlText w:val="●"/>
      <w:lvlJc w:val="left"/>
      <w:pPr>
        <w:ind w:left="2804" w:hanging="360"/>
      </w:pPr>
      <w:rPr>
        <w:rFonts w:ascii="Noto Sans Symbols" w:cs="Noto Sans Symbols" w:eastAsia="Noto Sans Symbols" w:hAnsi="Noto Sans Symbols"/>
      </w:rPr>
    </w:lvl>
    <w:lvl w:ilvl="4">
      <w:start w:val="1"/>
      <w:numFmt w:val="bullet"/>
      <w:lvlText w:val="o"/>
      <w:lvlJc w:val="left"/>
      <w:pPr>
        <w:ind w:left="3524" w:hanging="360"/>
      </w:pPr>
      <w:rPr>
        <w:rFonts w:ascii="Courier New" w:cs="Courier New" w:eastAsia="Courier New" w:hAnsi="Courier New"/>
      </w:rPr>
    </w:lvl>
    <w:lvl w:ilvl="5">
      <w:start w:val="1"/>
      <w:numFmt w:val="bullet"/>
      <w:lvlText w:val="▪"/>
      <w:lvlJc w:val="left"/>
      <w:pPr>
        <w:ind w:left="4244" w:hanging="360"/>
      </w:pPr>
      <w:rPr>
        <w:rFonts w:ascii="Noto Sans Symbols" w:cs="Noto Sans Symbols" w:eastAsia="Noto Sans Symbols" w:hAnsi="Noto Sans Symbols"/>
      </w:rPr>
    </w:lvl>
    <w:lvl w:ilvl="6">
      <w:start w:val="1"/>
      <w:numFmt w:val="bullet"/>
      <w:lvlText w:val="●"/>
      <w:lvlJc w:val="left"/>
      <w:pPr>
        <w:ind w:left="4964" w:hanging="360"/>
      </w:pPr>
      <w:rPr>
        <w:rFonts w:ascii="Noto Sans Symbols" w:cs="Noto Sans Symbols" w:eastAsia="Noto Sans Symbols" w:hAnsi="Noto Sans Symbols"/>
      </w:rPr>
    </w:lvl>
    <w:lvl w:ilvl="7">
      <w:start w:val="1"/>
      <w:numFmt w:val="bullet"/>
      <w:lvlText w:val="o"/>
      <w:lvlJc w:val="left"/>
      <w:pPr>
        <w:ind w:left="5684" w:hanging="360"/>
      </w:pPr>
      <w:rPr>
        <w:rFonts w:ascii="Courier New" w:cs="Courier New" w:eastAsia="Courier New" w:hAnsi="Courier New"/>
      </w:rPr>
    </w:lvl>
    <w:lvl w:ilvl="8">
      <w:start w:val="1"/>
      <w:numFmt w:val="bullet"/>
      <w:lvlText w:val="▪"/>
      <w:lvlJc w:val="left"/>
      <w:pPr>
        <w:ind w:left="6404"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Times New Roman" w:cs="Times New Roman" w:eastAsia="Times New Roman" w:hAnsi="Times New Roman"/>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1146" w:hanging="360"/>
      </w:pPr>
      <w:rPr>
        <w:rFonts w:ascii="Calibri" w:cs="Calibri" w:eastAsia="Calibri" w:hAnsi="Calibri"/>
      </w:rPr>
    </w:lvl>
    <w:lvl w:ilvl="1">
      <w:start w:val="1"/>
      <w:numFmt w:val="bullet"/>
      <w:lvlText w:val="o"/>
      <w:lvlJc w:val="left"/>
      <w:pPr>
        <w:ind w:left="1866" w:hanging="360"/>
      </w:pPr>
      <w:rPr>
        <w:rFonts w:ascii="Courier New" w:cs="Courier New" w:eastAsia="Courier New" w:hAnsi="Courier New"/>
      </w:rPr>
    </w:lvl>
    <w:lvl w:ilvl="2">
      <w:start w:val="1"/>
      <w:numFmt w:val="bullet"/>
      <w:lvlText w:val="▪"/>
      <w:lvlJc w:val="left"/>
      <w:pPr>
        <w:ind w:left="2586" w:hanging="360"/>
      </w:pPr>
      <w:rPr>
        <w:rFonts w:ascii="Noto Sans Symbols" w:cs="Noto Sans Symbols" w:eastAsia="Noto Sans Symbols" w:hAnsi="Noto Sans Symbols"/>
      </w:rPr>
    </w:lvl>
    <w:lvl w:ilvl="3">
      <w:start w:val="1"/>
      <w:numFmt w:val="bullet"/>
      <w:lvlText w:val="●"/>
      <w:lvlJc w:val="left"/>
      <w:pPr>
        <w:ind w:left="3306" w:hanging="360"/>
      </w:pPr>
      <w:rPr>
        <w:rFonts w:ascii="Noto Sans Symbols" w:cs="Noto Sans Symbols" w:eastAsia="Noto Sans Symbols" w:hAnsi="Noto Sans Symbols"/>
      </w:rPr>
    </w:lvl>
    <w:lvl w:ilvl="4">
      <w:start w:val="1"/>
      <w:numFmt w:val="bullet"/>
      <w:lvlText w:val="o"/>
      <w:lvlJc w:val="left"/>
      <w:pPr>
        <w:ind w:left="4026" w:hanging="360"/>
      </w:pPr>
      <w:rPr>
        <w:rFonts w:ascii="Courier New" w:cs="Courier New" w:eastAsia="Courier New" w:hAnsi="Courier New"/>
      </w:rPr>
    </w:lvl>
    <w:lvl w:ilvl="5">
      <w:start w:val="1"/>
      <w:numFmt w:val="bullet"/>
      <w:lvlText w:val="▪"/>
      <w:lvlJc w:val="left"/>
      <w:pPr>
        <w:ind w:left="4746" w:hanging="360"/>
      </w:pPr>
      <w:rPr>
        <w:rFonts w:ascii="Noto Sans Symbols" w:cs="Noto Sans Symbols" w:eastAsia="Noto Sans Symbols" w:hAnsi="Noto Sans Symbols"/>
      </w:rPr>
    </w:lvl>
    <w:lvl w:ilvl="6">
      <w:start w:val="1"/>
      <w:numFmt w:val="bullet"/>
      <w:lvlText w:val="●"/>
      <w:lvlJc w:val="left"/>
      <w:pPr>
        <w:ind w:left="5466" w:hanging="360"/>
      </w:pPr>
      <w:rPr>
        <w:rFonts w:ascii="Noto Sans Symbols" w:cs="Noto Sans Symbols" w:eastAsia="Noto Sans Symbols" w:hAnsi="Noto Sans Symbols"/>
      </w:rPr>
    </w:lvl>
    <w:lvl w:ilvl="7">
      <w:start w:val="1"/>
      <w:numFmt w:val="bullet"/>
      <w:lvlText w:val="o"/>
      <w:lvlJc w:val="left"/>
      <w:pPr>
        <w:ind w:left="6186" w:hanging="360"/>
      </w:pPr>
      <w:rPr>
        <w:rFonts w:ascii="Courier New" w:cs="Courier New" w:eastAsia="Courier New" w:hAnsi="Courier New"/>
      </w:rPr>
    </w:lvl>
    <w:lvl w:ilvl="8">
      <w:start w:val="1"/>
      <w:numFmt w:val="bullet"/>
      <w:lvlText w:val="▪"/>
      <w:lvlJc w:val="left"/>
      <w:pPr>
        <w:ind w:left="6906"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Calibri" w:cs="Calibri" w:eastAsia="Calibri" w:hAnsi="Calibri"/>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3.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